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center"/>
        <w:textAlignment w:val="auto"/>
      </w:pPr>
      <w:r>
        <w:rPr>
          <w:rStyle w:val="5"/>
          <w:sz w:val="24"/>
          <w:szCs w:val="24"/>
        </w:rPr>
        <w:t>全国会计硕士专业学位研究生入学考试复试阶段专业课指导性大纲（2016）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both"/>
        <w:textAlignment w:val="auto"/>
      </w:pPr>
      <w:r>
        <w:rPr>
          <w:sz w:val="21"/>
          <w:szCs w:val="21"/>
        </w:rPr>
        <w:t>为进一步规范会计硕士专业学位研究生录取工作，保证录取学生具备一定的会计专业素质，特制定本指导性大纲，供各招生单位参考。本大纲注重对考生专业基础知识、专业基本要求的考核，一些相对有难度的内容应在学生入学后学习与掌握。本大纲仅供各招生单位在复试阶段专业课考试时参考，各招生单位可根据自身的战略定位、培养目标、培养方案等对大纲的内容有所选择与侧重（应具备合理依据）。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center"/>
        <w:textAlignment w:val="auto"/>
      </w:pPr>
      <w:r>
        <w:rPr>
          <w:rStyle w:val="5"/>
          <w:sz w:val="24"/>
          <w:szCs w:val="24"/>
        </w:rPr>
        <w:t>第一部分   财务会计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</w:pPr>
      <w:r>
        <w:rPr>
          <w:sz w:val="21"/>
          <w:szCs w:val="21"/>
        </w:rPr>
        <w:t>第一章  总论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第一节  财务会计报告的目标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第二节  会计基本假设与会计基础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第三节  会计信息质量要求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第四节  会计要素及其确认与计量</w:t>
      </w:r>
      <w:r>
        <w:t xml:space="preserve">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第五节  财务会计报告的组成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第二章  金融资产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第一节  金融资产的分类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第二节  以摊余成本计量的金融资产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第三节  以公允价值计量且其变动计入其他综合收益的金融资产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第四节  以公允价值计量且其变动计入当期损益的金融资产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第三章  存货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第一节  存货的确认和初始计量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第二节  发出存货成本的计量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第三节  期末存货的计量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第四章  长期股权投资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第一节  长期股权投资的确认和初始计量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第二节  长期股权投资的后续计量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第五章  固定资产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第一节  固定资产的确认和初始计量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第二节  固定资产的后续计量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第三节  固定资产的处置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第六章  无形资产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第一节  无形资产的确认和初始计量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第二节  内部研究与开发支出的确认和计量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第三节  无形资产的后续计量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第四节 无形资产的处置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第七章  负债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第一节  流动负债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第二节  非流动负债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第八章  所有者权益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第一节  实收资本（股本）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第二节  资本公积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第三节  其他综合收益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第四节  留存收益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第九章  收入、费用和利润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第一节  收入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第二节  费用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第三节  直接计入当期利润的利得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第四节  直接计入当期利润的损失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第五节  利润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第十章  财务报告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第一节  财务报告概述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第二节  资产负债表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第三节  利润表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第四节  现金流量表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第五节  所有者权益变动表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第六节  附注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第十一章  或有事项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第一节  或有事项概述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第二节  或有事项的确认和计量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第三节  或有事项的列报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第十二章  资产负债表日后事项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第一节  资产负债表日后事项概述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第二节  调整事项的会计处理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第三节  非调整事项的会计处理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第十三章  会计政策、会计估计变更和差错更正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第一节  会计政策及其变更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第二节  会计估计及其变更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第三节  前期差错及其更正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 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center"/>
        <w:textAlignment w:val="auto"/>
      </w:pPr>
      <w:r>
        <w:rPr>
          <w:rStyle w:val="5"/>
          <w:sz w:val="24"/>
          <w:szCs w:val="24"/>
        </w:rPr>
        <w:t>第二部分  成本与管理会计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第一章  总论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第一节  管理会计与财务会计的区别与联系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第二节  成本的概念和分类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第二章  产品成本核算方法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第一节  产品成本计算概述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第二节  成本的归集与分配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第三节  产品成本计算的品种法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第四节  产品成本计算的分批法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第五节  产品成本计算的分步法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第六节  作业成本法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第三章  成本分析与成本管理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第一节  成本性态分析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第二节  变动成本法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第三节  成本管理方法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第四章  经营决策分析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第一节  经营决策分析的基本方法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第二节  本量利分析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第三节  经营决策中的成本概念运用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第四节  经营决策中的生产组织与外包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第五节  经营决策中的产能利用与存货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第五章  全面预算管理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第一节  全面预算概述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第二节  全面预算的类型与编制方法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第三节  营业预算的编制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第四节  财务预算的编制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第五节  预算实施与管理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第六节  预算结果的考评与反馈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第六章  责任会计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第一节  责任会计概述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第二节  责任中心的类型与基本原则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第三节  责任会计的职能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第四节  责任会计体系与部门绩效考核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 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center"/>
        <w:textAlignment w:val="auto"/>
      </w:pPr>
      <w:r>
        <w:rPr>
          <w:rStyle w:val="5"/>
          <w:sz w:val="24"/>
          <w:szCs w:val="24"/>
        </w:rPr>
        <w:t>第三部分  财务管理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第一章  总论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第一节  财务管理的概念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第二节  财务管理的目标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第三节  财务管理的环境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第二章  财务估值的基础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第一节  货币时间价值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第二节  风险和收益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第三节  证券估值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第三章  财务分析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第一节  偿债能力分析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第二节  营运能力分析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第三节  获利能力分析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第四节  发展能力分析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第五节  综合财务分析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第四章  长期筹资决策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第一节  资本成本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第二节  资本结构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第三节  普通股筹资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第四节  长期负债筹资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第五章  投资决策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第一节  投资的概念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第二节  投资的现金流量分析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第三节  投资决策评价指标及其计算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第六章  营运资金管理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第一节  短期资产管理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第二节  短期筹资管理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第七章  股利分配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第一节  利润分配概述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第二节  股利支付的程序和方式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  第三节  股利理论与股利分配政策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</w:pPr>
      <w:r>
        <w:rPr>
          <w:sz w:val="21"/>
          <w:szCs w:val="21"/>
        </w:rPr>
        <w:t> 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</w:pPr>
      <w:r>
        <w:rPr>
          <w:rStyle w:val="5"/>
          <w:sz w:val="24"/>
          <w:szCs w:val="24"/>
        </w:rPr>
        <w:t>第四部分  审  计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sz w:val="21"/>
          <w:szCs w:val="21"/>
        </w:rPr>
        <w:t>  第一章  总论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sz w:val="21"/>
          <w:szCs w:val="21"/>
        </w:rPr>
        <w:t>     第一节  审计的定义和特征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sz w:val="21"/>
          <w:szCs w:val="21"/>
        </w:rPr>
        <w:t>     第二节  审计的职能和作用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sz w:val="21"/>
          <w:szCs w:val="21"/>
        </w:rPr>
        <w:t>     第三节  审计的分类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sz w:val="21"/>
          <w:szCs w:val="21"/>
        </w:rPr>
        <w:t>     第四节  审计准则、职业道德和法律责任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sz w:val="21"/>
          <w:szCs w:val="21"/>
        </w:rPr>
        <w:t>   第二章  财务报表审计的核心概念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sz w:val="21"/>
          <w:szCs w:val="21"/>
        </w:rPr>
        <w:t>     第一节  审计目标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sz w:val="21"/>
          <w:szCs w:val="21"/>
        </w:rPr>
        <w:t>     第二节  重要性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sz w:val="21"/>
          <w:szCs w:val="21"/>
        </w:rPr>
        <w:t>     第三节  审计风险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sz w:val="21"/>
          <w:szCs w:val="21"/>
        </w:rPr>
        <w:t>     第四节  审计证据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sz w:val="21"/>
          <w:szCs w:val="21"/>
        </w:rPr>
        <w:t>     第五节  审计程序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sz w:val="21"/>
          <w:szCs w:val="21"/>
        </w:rPr>
        <w:t>   第三章  财务报表审计的思路和步骤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sz w:val="21"/>
          <w:szCs w:val="21"/>
        </w:rPr>
        <w:t>     第一节  风险导向审计的基本思路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sz w:val="21"/>
          <w:szCs w:val="21"/>
        </w:rPr>
        <w:t>     第二节  风险评估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sz w:val="21"/>
          <w:szCs w:val="21"/>
        </w:rPr>
        <w:t>     第三节  控制测试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sz w:val="21"/>
          <w:szCs w:val="21"/>
        </w:rPr>
        <w:t>     第四节  实质性程序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sz w:val="21"/>
          <w:szCs w:val="21"/>
        </w:rPr>
        <w:t>   第四章  主要业务循环的审计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sz w:val="21"/>
          <w:szCs w:val="21"/>
        </w:rPr>
        <w:t>     第一节  销售与收款循环的审计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sz w:val="21"/>
          <w:szCs w:val="21"/>
        </w:rPr>
        <w:t>     第二节  采购与付款循环的审计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sz w:val="21"/>
          <w:szCs w:val="21"/>
        </w:rPr>
        <w:t>     第三节  生产与职工薪酬循环的审计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sz w:val="21"/>
          <w:szCs w:val="21"/>
        </w:rPr>
        <w:t>     第四节  筹资与投资循环的审计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sz w:val="21"/>
          <w:szCs w:val="21"/>
        </w:rPr>
        <w:t>     第五节  货币资金与特殊项目的审计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sz w:val="21"/>
          <w:szCs w:val="21"/>
        </w:rPr>
        <w:t>   第五章  审计报告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sz w:val="21"/>
          <w:szCs w:val="21"/>
        </w:rPr>
        <w:t>     第一节  审计意见的形成和类型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sz w:val="21"/>
          <w:szCs w:val="21"/>
        </w:rPr>
        <w:t>     第二节  标准审计报告的结构和内容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sz w:val="21"/>
          <w:szCs w:val="21"/>
        </w:rPr>
        <w:t>     第三节  非标准审计报告的结构和内容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A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2020-07-07T03:02:01Z</dcterms:created>
  <dc:creator>lenovo</dc:creator>
  <cp:lastModifiedBy>*瞬间＆刹那*</cp:lastModifiedBy>
  <dcterms:modified xsi:type="dcterms:W3CDTF">2020-07-07T03:02:40Z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